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D8A66" w14:textId="77777777" w:rsidR="00686F1E" w:rsidRDefault="009B66C1" w:rsidP="005124E4">
      <w:pPr>
        <w:spacing w:line="360" w:lineRule="auto"/>
        <w:ind w:right="-149"/>
        <w:jc w:val="center"/>
        <w:rPr>
          <w:b/>
        </w:rPr>
      </w:pPr>
      <w:r w:rsidRPr="00AF3239">
        <w:rPr>
          <w:b/>
        </w:rPr>
        <w:t xml:space="preserve">INTRA AND INTER-SESSION RELIABILITY </w:t>
      </w:r>
    </w:p>
    <w:p w14:paraId="19C5864C" w14:textId="6ED39BB8" w:rsidR="00686F1E" w:rsidRDefault="009B66C1" w:rsidP="005124E4">
      <w:pPr>
        <w:spacing w:line="360" w:lineRule="auto"/>
        <w:ind w:right="-149"/>
        <w:jc w:val="center"/>
        <w:rPr>
          <w:b/>
        </w:rPr>
      </w:pPr>
      <w:r w:rsidRPr="00AF3239">
        <w:rPr>
          <w:b/>
        </w:rPr>
        <w:t>OF THE ANGLE BETWEEN PAIN ONSET AND SUBMAXIMAL PAIN</w:t>
      </w:r>
      <w:r w:rsidR="00686F1E">
        <w:rPr>
          <w:b/>
        </w:rPr>
        <w:t xml:space="preserve"> DURING </w:t>
      </w:r>
    </w:p>
    <w:p w14:paraId="03A6B730" w14:textId="4CEA8EDD" w:rsidR="00686F1E" w:rsidRPr="00AF3239" w:rsidRDefault="001C45BC" w:rsidP="005124E4">
      <w:pPr>
        <w:spacing w:line="360" w:lineRule="auto"/>
        <w:ind w:right="-149"/>
        <w:jc w:val="center"/>
        <w:rPr>
          <w:b/>
        </w:rPr>
      </w:pPr>
      <w:r>
        <w:rPr>
          <w:b/>
        </w:rPr>
        <w:t>UPPER LIMB NEURODYNAMICS TEST</w:t>
      </w:r>
      <w:r w:rsidR="000D1F72">
        <w:rPr>
          <w:b/>
        </w:rPr>
        <w:t xml:space="preserve"> </w:t>
      </w:r>
      <w:r w:rsidR="00686F1E" w:rsidRPr="00AF3239">
        <w:rPr>
          <w:b/>
        </w:rPr>
        <w:t>1</w:t>
      </w:r>
      <w:r w:rsidR="00686F1E">
        <w:rPr>
          <w:b/>
        </w:rPr>
        <w:t xml:space="preserve">: A STUDY </w:t>
      </w:r>
      <w:r w:rsidR="002D7756">
        <w:rPr>
          <w:b/>
        </w:rPr>
        <w:t>IN</w:t>
      </w:r>
      <w:r w:rsidR="00686F1E">
        <w:rPr>
          <w:b/>
        </w:rPr>
        <w:t xml:space="preserve"> HEALT</w:t>
      </w:r>
      <w:r w:rsidR="00CB04E5">
        <w:rPr>
          <w:b/>
        </w:rPr>
        <w:t>H</w:t>
      </w:r>
      <w:bookmarkStart w:id="0" w:name="_GoBack"/>
      <w:bookmarkEnd w:id="0"/>
      <w:r w:rsidR="00686F1E">
        <w:rPr>
          <w:b/>
        </w:rPr>
        <w:t xml:space="preserve">Y </w:t>
      </w:r>
      <w:r w:rsidR="002D7756">
        <w:rPr>
          <w:b/>
        </w:rPr>
        <w:t>INDIVIDUALS</w:t>
      </w:r>
    </w:p>
    <w:p w14:paraId="33CB6282" w14:textId="32D52C64" w:rsidR="009B66C1" w:rsidRPr="00AF3239" w:rsidRDefault="009B66C1" w:rsidP="005124E4">
      <w:pPr>
        <w:spacing w:line="360" w:lineRule="auto"/>
        <w:ind w:right="-149"/>
        <w:jc w:val="center"/>
        <w:rPr>
          <w:b/>
        </w:rPr>
      </w:pPr>
    </w:p>
    <w:p w14:paraId="082F9A80" w14:textId="77777777" w:rsidR="009B66C1" w:rsidRPr="00AF3239" w:rsidRDefault="009B66C1" w:rsidP="005124E4">
      <w:pPr>
        <w:spacing w:line="360" w:lineRule="auto"/>
        <w:ind w:right="-149"/>
        <w:jc w:val="center"/>
      </w:pPr>
    </w:p>
    <w:p w14:paraId="686A6F67" w14:textId="3D78F66C" w:rsidR="00AF3239" w:rsidRPr="00AF3239" w:rsidRDefault="00AF3239" w:rsidP="005124E4">
      <w:pPr>
        <w:spacing w:line="360" w:lineRule="auto"/>
        <w:ind w:right="-149"/>
        <w:jc w:val="center"/>
        <w:rPr>
          <w:sz w:val="22"/>
          <w:szCs w:val="22"/>
        </w:rPr>
      </w:pPr>
      <w:r w:rsidRPr="00AF3239">
        <w:rPr>
          <w:sz w:val="22"/>
          <w:szCs w:val="22"/>
        </w:rPr>
        <w:t>Diego Leoni</w:t>
      </w:r>
      <w:r w:rsidRPr="00AF3239">
        <w:rPr>
          <w:sz w:val="22"/>
          <w:szCs w:val="22"/>
          <w:vertAlign w:val="superscript"/>
        </w:rPr>
        <w:t>1</w:t>
      </w:r>
      <w:r w:rsidRPr="00AF3239">
        <w:rPr>
          <w:sz w:val="22"/>
          <w:szCs w:val="22"/>
        </w:rPr>
        <w:t>, Davide Storer</w:t>
      </w:r>
      <w:r w:rsidRPr="00AF3239">
        <w:rPr>
          <w:sz w:val="22"/>
          <w:szCs w:val="22"/>
          <w:vertAlign w:val="superscript"/>
        </w:rPr>
        <w:t>2</w:t>
      </w:r>
      <w:r w:rsidRPr="00AF3239">
        <w:rPr>
          <w:sz w:val="22"/>
          <w:szCs w:val="22"/>
        </w:rPr>
        <w:t>, Roberto Gatti</w:t>
      </w:r>
      <w:r w:rsidRPr="00AF3239">
        <w:rPr>
          <w:sz w:val="22"/>
          <w:szCs w:val="22"/>
          <w:vertAlign w:val="superscript"/>
        </w:rPr>
        <w:t>2</w:t>
      </w:r>
      <w:r w:rsidRPr="00AF3239">
        <w:rPr>
          <w:sz w:val="22"/>
          <w:szCs w:val="22"/>
        </w:rPr>
        <w:t>, Michele Egloff</w:t>
      </w:r>
      <w:r w:rsidRPr="00AF3239">
        <w:rPr>
          <w:sz w:val="22"/>
          <w:szCs w:val="22"/>
          <w:vertAlign w:val="superscript"/>
        </w:rPr>
        <w:t>1</w:t>
      </w:r>
      <w:r w:rsidRPr="00AF3239">
        <w:rPr>
          <w:sz w:val="22"/>
          <w:szCs w:val="22"/>
        </w:rPr>
        <w:t>, Marco Barbero</w:t>
      </w:r>
      <w:r w:rsidRPr="00AF3239">
        <w:rPr>
          <w:sz w:val="22"/>
          <w:szCs w:val="22"/>
          <w:vertAlign w:val="superscript"/>
        </w:rPr>
        <w:t>1</w:t>
      </w:r>
    </w:p>
    <w:p w14:paraId="07F53A69" w14:textId="4E06EEB4" w:rsidR="00BC3CC6" w:rsidRDefault="00AF3239" w:rsidP="005124E4">
      <w:pPr>
        <w:spacing w:line="360" w:lineRule="auto"/>
        <w:ind w:right="-149"/>
        <w:jc w:val="center"/>
        <w:rPr>
          <w:sz w:val="20"/>
          <w:szCs w:val="20"/>
          <w:lang w:val="en-GB"/>
        </w:rPr>
      </w:pPr>
      <w:r w:rsidRPr="00AF3239">
        <w:rPr>
          <w:sz w:val="20"/>
          <w:szCs w:val="20"/>
          <w:vertAlign w:val="superscript"/>
          <w:lang w:val="en-GB"/>
        </w:rPr>
        <w:t xml:space="preserve">1 </w:t>
      </w:r>
      <w:r w:rsidRPr="00AF3239">
        <w:rPr>
          <w:sz w:val="20"/>
          <w:szCs w:val="20"/>
          <w:lang w:val="en-GB"/>
        </w:rPr>
        <w:t>Department of Business Economics, H</w:t>
      </w:r>
      <w:r w:rsidR="00BC3CC6">
        <w:rPr>
          <w:sz w:val="20"/>
          <w:szCs w:val="20"/>
          <w:lang w:val="en-GB"/>
        </w:rPr>
        <w:t>ealth and Social Care,</w:t>
      </w:r>
    </w:p>
    <w:p w14:paraId="5640B8E1" w14:textId="3FA5930B" w:rsidR="00AF3239" w:rsidRPr="00BC3CC6" w:rsidRDefault="00AF3239" w:rsidP="005124E4">
      <w:pPr>
        <w:spacing w:line="360" w:lineRule="auto"/>
        <w:ind w:right="-149"/>
        <w:jc w:val="center"/>
        <w:rPr>
          <w:sz w:val="20"/>
          <w:szCs w:val="20"/>
          <w:lang w:val="en-GB"/>
        </w:rPr>
      </w:pPr>
      <w:r w:rsidRPr="00AF3239">
        <w:rPr>
          <w:sz w:val="20"/>
          <w:szCs w:val="20"/>
          <w:lang w:val="en-GB"/>
        </w:rPr>
        <w:t>University of Applied Sciences and Arts of Southern Switzerland, SUPSI, Manno, Switzerland</w:t>
      </w:r>
    </w:p>
    <w:p w14:paraId="0C017040" w14:textId="77777777" w:rsidR="00AF3239" w:rsidRPr="00AF3239" w:rsidRDefault="00AF3239" w:rsidP="005124E4">
      <w:pPr>
        <w:spacing w:line="360" w:lineRule="auto"/>
        <w:ind w:right="-149"/>
        <w:jc w:val="center"/>
        <w:rPr>
          <w:sz w:val="20"/>
          <w:szCs w:val="20"/>
        </w:rPr>
      </w:pPr>
      <w:r w:rsidRPr="00AF3239">
        <w:rPr>
          <w:sz w:val="20"/>
          <w:szCs w:val="20"/>
          <w:vertAlign w:val="superscript"/>
        </w:rPr>
        <w:t>2</w:t>
      </w:r>
      <w:r w:rsidRPr="00AF3239">
        <w:rPr>
          <w:sz w:val="20"/>
          <w:szCs w:val="20"/>
        </w:rPr>
        <w:t xml:space="preserve"> </w:t>
      </w:r>
      <w:proofErr w:type="spellStart"/>
      <w:r w:rsidRPr="00AF3239">
        <w:rPr>
          <w:sz w:val="20"/>
          <w:szCs w:val="20"/>
        </w:rPr>
        <w:t>Rehabilitation</w:t>
      </w:r>
      <w:proofErr w:type="spellEnd"/>
      <w:r w:rsidRPr="00AF3239">
        <w:rPr>
          <w:sz w:val="20"/>
          <w:szCs w:val="20"/>
        </w:rPr>
        <w:t xml:space="preserve"> </w:t>
      </w:r>
      <w:proofErr w:type="spellStart"/>
      <w:r w:rsidRPr="00AF3239">
        <w:rPr>
          <w:sz w:val="20"/>
          <w:szCs w:val="20"/>
        </w:rPr>
        <w:t>Department</w:t>
      </w:r>
      <w:proofErr w:type="spellEnd"/>
      <w:r w:rsidRPr="00AF3239">
        <w:rPr>
          <w:sz w:val="20"/>
          <w:szCs w:val="20"/>
        </w:rPr>
        <w:t xml:space="preserve">, San Raffaele Hospital, Milan, </w:t>
      </w:r>
      <w:proofErr w:type="spellStart"/>
      <w:r w:rsidRPr="00AF3239">
        <w:rPr>
          <w:sz w:val="20"/>
          <w:szCs w:val="20"/>
        </w:rPr>
        <w:t>Italy</w:t>
      </w:r>
      <w:proofErr w:type="spellEnd"/>
    </w:p>
    <w:p w14:paraId="1F333C6D" w14:textId="77777777" w:rsidR="009B66C1" w:rsidRPr="00AF3239" w:rsidRDefault="009B66C1" w:rsidP="005124E4">
      <w:pPr>
        <w:spacing w:line="360" w:lineRule="auto"/>
        <w:ind w:right="-149"/>
        <w:jc w:val="center"/>
        <w:rPr>
          <w:sz w:val="20"/>
          <w:szCs w:val="20"/>
          <w:lang w:val="en-US"/>
        </w:rPr>
      </w:pPr>
    </w:p>
    <w:p w14:paraId="0BA1DF44" w14:textId="77777777" w:rsidR="009B66C1" w:rsidRPr="00AF3239" w:rsidRDefault="009B66C1" w:rsidP="005124E4">
      <w:pPr>
        <w:spacing w:line="360" w:lineRule="auto"/>
        <w:ind w:right="-149"/>
        <w:jc w:val="center"/>
        <w:rPr>
          <w:lang w:val="en-US"/>
        </w:rPr>
      </w:pPr>
      <w:proofErr w:type="gramStart"/>
      <w:r w:rsidRPr="00AF3239">
        <w:rPr>
          <w:lang w:val="en-US"/>
        </w:rPr>
        <w:t>e</w:t>
      </w:r>
      <w:proofErr w:type="gramEnd"/>
      <w:r w:rsidRPr="00AF3239">
        <w:rPr>
          <w:lang w:val="en-US"/>
        </w:rPr>
        <w:t>-mail: diego.leoni@supsi.ch</w:t>
      </w:r>
    </w:p>
    <w:p w14:paraId="7112FB06" w14:textId="77777777" w:rsidR="00AF7877" w:rsidRPr="00AF3239" w:rsidRDefault="00AF7877" w:rsidP="005124E4">
      <w:pPr>
        <w:tabs>
          <w:tab w:val="left" w:pos="6893"/>
        </w:tabs>
        <w:spacing w:line="360" w:lineRule="auto"/>
        <w:ind w:right="-149"/>
        <w:jc w:val="both"/>
        <w:rPr>
          <w:b/>
        </w:rPr>
      </w:pPr>
      <w:r w:rsidRPr="00AF3239">
        <w:rPr>
          <w:b/>
        </w:rPr>
        <w:tab/>
      </w:r>
    </w:p>
    <w:p w14:paraId="00350C8B" w14:textId="137D0BEB" w:rsidR="00AF7877" w:rsidRPr="00177F77" w:rsidRDefault="00AF7877" w:rsidP="005124E4">
      <w:pPr>
        <w:spacing w:line="360" w:lineRule="auto"/>
        <w:ind w:right="-149"/>
        <w:jc w:val="both"/>
        <w:rPr>
          <w:sz w:val="22"/>
          <w:szCs w:val="22"/>
        </w:rPr>
      </w:pPr>
      <w:proofErr w:type="gramStart"/>
      <w:r w:rsidRPr="005D6C4B">
        <w:rPr>
          <w:b/>
          <w:sz w:val="22"/>
          <w:szCs w:val="22"/>
          <w:lang w:val="en-GB"/>
        </w:rPr>
        <w:t>Background and objective</w:t>
      </w:r>
      <w:r w:rsidR="004C1507">
        <w:rPr>
          <w:b/>
          <w:sz w:val="22"/>
          <w:szCs w:val="22"/>
          <w:lang w:val="en-GB"/>
        </w:rPr>
        <w:t>.</w:t>
      </w:r>
      <w:proofErr w:type="gramEnd"/>
      <w:r w:rsidRPr="005D6C4B">
        <w:rPr>
          <w:b/>
          <w:sz w:val="22"/>
          <w:szCs w:val="22"/>
          <w:lang w:val="en-GB"/>
        </w:rPr>
        <w:t xml:space="preserve"> </w:t>
      </w:r>
      <w:r w:rsidRPr="005D6C4B">
        <w:rPr>
          <w:sz w:val="22"/>
          <w:szCs w:val="22"/>
          <w:lang w:val="en-GB"/>
        </w:rPr>
        <w:t xml:space="preserve">The Upper Limb </w:t>
      </w:r>
      <w:proofErr w:type="spellStart"/>
      <w:r w:rsidRPr="005D6C4B">
        <w:rPr>
          <w:sz w:val="22"/>
          <w:szCs w:val="22"/>
          <w:lang w:val="en-GB"/>
        </w:rPr>
        <w:t>Neur</w:t>
      </w:r>
      <w:r w:rsidR="00831848" w:rsidRPr="005D6C4B">
        <w:rPr>
          <w:sz w:val="22"/>
          <w:szCs w:val="22"/>
          <w:lang w:val="en-GB"/>
        </w:rPr>
        <w:t>odynamics</w:t>
      </w:r>
      <w:proofErr w:type="spellEnd"/>
      <w:r w:rsidR="00831848" w:rsidRPr="005D6C4B">
        <w:rPr>
          <w:sz w:val="22"/>
          <w:szCs w:val="22"/>
          <w:lang w:val="en-GB"/>
        </w:rPr>
        <w:t xml:space="preserve"> Test 1 (ULTN1)</w:t>
      </w:r>
      <w:r w:rsidRPr="005D6C4B">
        <w:rPr>
          <w:sz w:val="22"/>
          <w:szCs w:val="22"/>
          <w:lang w:val="en-GB"/>
        </w:rPr>
        <w:t xml:space="preserve"> </w:t>
      </w:r>
      <w:r w:rsidR="00831848" w:rsidRPr="005D6C4B">
        <w:rPr>
          <w:sz w:val="22"/>
          <w:szCs w:val="22"/>
          <w:lang w:val="en-GB"/>
        </w:rPr>
        <w:t xml:space="preserve">is a common procedure </w:t>
      </w:r>
      <w:r w:rsidR="0076208C">
        <w:rPr>
          <w:sz w:val="22"/>
          <w:szCs w:val="22"/>
          <w:lang w:val="en-GB"/>
        </w:rPr>
        <w:t xml:space="preserve">used </w:t>
      </w:r>
      <w:r w:rsidRPr="005D6C4B">
        <w:rPr>
          <w:sz w:val="22"/>
          <w:szCs w:val="22"/>
          <w:lang w:val="en-GB"/>
        </w:rPr>
        <w:t xml:space="preserve">to assess nerves’ </w:t>
      </w:r>
      <w:proofErr w:type="spellStart"/>
      <w:r w:rsidRPr="005D6C4B">
        <w:rPr>
          <w:sz w:val="22"/>
          <w:szCs w:val="22"/>
          <w:lang w:val="en-GB"/>
        </w:rPr>
        <w:t>mechanosensitivity</w:t>
      </w:r>
      <w:proofErr w:type="spellEnd"/>
      <w:r w:rsidRPr="005D6C4B">
        <w:rPr>
          <w:sz w:val="22"/>
          <w:szCs w:val="22"/>
          <w:lang w:val="en-GB"/>
        </w:rPr>
        <w:t xml:space="preserve"> </w:t>
      </w:r>
      <w:r w:rsidR="00251EA4" w:rsidRPr="005D6C4B">
        <w:rPr>
          <w:sz w:val="22"/>
          <w:szCs w:val="22"/>
          <w:lang w:val="en-GB"/>
        </w:rPr>
        <w:t xml:space="preserve">of </w:t>
      </w:r>
      <w:r w:rsidR="0076208C">
        <w:rPr>
          <w:sz w:val="22"/>
          <w:szCs w:val="22"/>
          <w:lang w:val="en-GB"/>
        </w:rPr>
        <w:t xml:space="preserve">the </w:t>
      </w:r>
      <w:r w:rsidR="00251EA4" w:rsidRPr="005D6C4B">
        <w:rPr>
          <w:sz w:val="22"/>
          <w:szCs w:val="22"/>
          <w:lang w:val="en-GB"/>
        </w:rPr>
        <w:t>upper limb nerve trunks</w:t>
      </w:r>
      <w:r w:rsidRPr="005D6C4B">
        <w:rPr>
          <w:sz w:val="22"/>
          <w:szCs w:val="22"/>
          <w:lang w:val="en-GB"/>
        </w:rPr>
        <w:t>. Besides the clinical criteria to</w:t>
      </w:r>
      <w:r w:rsidR="0016325C" w:rsidRPr="005D6C4B">
        <w:rPr>
          <w:sz w:val="22"/>
          <w:szCs w:val="22"/>
          <w:lang w:val="en-GB"/>
        </w:rPr>
        <w:t xml:space="preserve"> establish</w:t>
      </w:r>
      <w:r w:rsidRPr="005D6C4B">
        <w:rPr>
          <w:sz w:val="22"/>
          <w:szCs w:val="22"/>
          <w:lang w:val="en-GB"/>
        </w:rPr>
        <w:t xml:space="preserve"> the positivity of </w:t>
      </w:r>
      <w:r w:rsidR="0076208C">
        <w:rPr>
          <w:sz w:val="22"/>
          <w:szCs w:val="22"/>
          <w:lang w:val="en-GB"/>
        </w:rPr>
        <w:t>the test</w:t>
      </w:r>
      <w:r w:rsidRPr="005D6C4B">
        <w:rPr>
          <w:sz w:val="22"/>
          <w:szCs w:val="22"/>
          <w:lang w:val="en-GB"/>
        </w:rPr>
        <w:t xml:space="preserve">, </w:t>
      </w:r>
      <w:r w:rsidR="00251EA4">
        <w:rPr>
          <w:sz w:val="22"/>
          <w:szCs w:val="22"/>
          <w:lang w:val="en-GB"/>
        </w:rPr>
        <w:t xml:space="preserve">the measurement of </w:t>
      </w:r>
      <w:r w:rsidRPr="005D6C4B">
        <w:rPr>
          <w:sz w:val="22"/>
          <w:szCs w:val="22"/>
          <w:lang w:val="en-GB"/>
        </w:rPr>
        <w:t xml:space="preserve">pain onset (PO) and submaximal pain (SP) angles of occurrence </w:t>
      </w:r>
      <w:r w:rsidR="0029584D" w:rsidRPr="005D6C4B">
        <w:rPr>
          <w:sz w:val="22"/>
          <w:szCs w:val="22"/>
          <w:lang w:val="en-GB"/>
        </w:rPr>
        <w:t xml:space="preserve">during ULNT1 </w:t>
      </w:r>
      <w:r w:rsidR="00251EA4" w:rsidRPr="005D6C4B">
        <w:rPr>
          <w:sz w:val="22"/>
          <w:szCs w:val="22"/>
          <w:lang w:val="en-GB"/>
        </w:rPr>
        <w:t>h</w:t>
      </w:r>
      <w:r w:rsidR="00251EA4">
        <w:rPr>
          <w:sz w:val="22"/>
          <w:szCs w:val="22"/>
          <w:lang w:val="en-GB"/>
        </w:rPr>
        <w:t>as</w:t>
      </w:r>
      <w:r w:rsidR="00251EA4" w:rsidRPr="005D6C4B">
        <w:rPr>
          <w:sz w:val="22"/>
          <w:szCs w:val="22"/>
          <w:lang w:val="en-GB"/>
        </w:rPr>
        <w:t xml:space="preserve"> </w:t>
      </w:r>
      <w:r w:rsidRPr="005D6C4B">
        <w:rPr>
          <w:sz w:val="22"/>
          <w:szCs w:val="22"/>
          <w:lang w:val="en-GB"/>
        </w:rPr>
        <w:t xml:space="preserve">been proposed to </w:t>
      </w:r>
      <w:r w:rsidR="0016325C" w:rsidRPr="005D6C4B">
        <w:rPr>
          <w:sz w:val="22"/>
          <w:szCs w:val="22"/>
          <w:lang w:val="en-GB"/>
        </w:rPr>
        <w:t>quant</w:t>
      </w:r>
      <w:r w:rsidR="005D6C4B">
        <w:rPr>
          <w:sz w:val="22"/>
          <w:szCs w:val="22"/>
          <w:lang w:val="en-GB"/>
        </w:rPr>
        <w:t>i</w:t>
      </w:r>
      <w:r w:rsidR="0016325C" w:rsidRPr="005D6C4B">
        <w:rPr>
          <w:sz w:val="22"/>
          <w:szCs w:val="22"/>
          <w:lang w:val="en-GB"/>
        </w:rPr>
        <w:t xml:space="preserve">fy the </w:t>
      </w:r>
      <w:proofErr w:type="spellStart"/>
      <w:r w:rsidRPr="005D6C4B">
        <w:rPr>
          <w:sz w:val="22"/>
          <w:szCs w:val="22"/>
          <w:lang w:val="en-GB"/>
        </w:rPr>
        <w:t>mechanosensitivity</w:t>
      </w:r>
      <w:proofErr w:type="spellEnd"/>
      <w:r w:rsidRPr="005D6C4B">
        <w:rPr>
          <w:sz w:val="22"/>
          <w:szCs w:val="22"/>
          <w:lang w:val="en-GB"/>
        </w:rPr>
        <w:t xml:space="preserve">. The intra-session reliability of such measurement is considered high, while the inter-session reliability has not yet been extensively explored. </w:t>
      </w:r>
      <w:r w:rsidR="003922CC" w:rsidRPr="005D6C4B">
        <w:rPr>
          <w:sz w:val="22"/>
          <w:szCs w:val="22"/>
          <w:lang w:val="en-GB"/>
        </w:rPr>
        <w:t>Moreover a</w:t>
      </w:r>
      <w:r w:rsidRPr="005D6C4B">
        <w:rPr>
          <w:sz w:val="22"/>
          <w:szCs w:val="22"/>
          <w:lang w:val="en-GB"/>
        </w:rPr>
        <w:t xml:space="preserve"> slight difference in patient positioning or </w:t>
      </w:r>
      <w:r w:rsidR="003922CC" w:rsidRPr="005D6C4B">
        <w:rPr>
          <w:sz w:val="22"/>
          <w:szCs w:val="22"/>
          <w:lang w:val="en-GB"/>
        </w:rPr>
        <w:t xml:space="preserve">in the </w:t>
      </w:r>
      <w:r w:rsidRPr="005D6C4B">
        <w:rPr>
          <w:sz w:val="22"/>
          <w:szCs w:val="22"/>
          <w:lang w:val="en-GB"/>
        </w:rPr>
        <w:t xml:space="preserve">ULNT1 execution </w:t>
      </w:r>
      <w:r w:rsidR="003922CC" w:rsidRPr="005D6C4B">
        <w:rPr>
          <w:sz w:val="22"/>
          <w:szCs w:val="22"/>
          <w:lang w:val="en-GB"/>
        </w:rPr>
        <w:t xml:space="preserve">during different sessions </w:t>
      </w:r>
      <w:r w:rsidRPr="005D6C4B">
        <w:rPr>
          <w:sz w:val="22"/>
          <w:szCs w:val="22"/>
          <w:lang w:val="en-GB"/>
        </w:rPr>
        <w:t>c</w:t>
      </w:r>
      <w:r w:rsidR="003922CC" w:rsidRPr="005D6C4B">
        <w:rPr>
          <w:sz w:val="22"/>
          <w:szCs w:val="22"/>
          <w:lang w:val="en-GB"/>
        </w:rPr>
        <w:t>ould</w:t>
      </w:r>
      <w:r w:rsidRPr="005D6C4B">
        <w:rPr>
          <w:sz w:val="22"/>
          <w:szCs w:val="22"/>
          <w:lang w:val="en-GB"/>
        </w:rPr>
        <w:t xml:space="preserve"> affect the occurrence of </w:t>
      </w:r>
      <w:r w:rsidR="003922CC" w:rsidRPr="005D6C4B">
        <w:rPr>
          <w:sz w:val="22"/>
          <w:szCs w:val="22"/>
          <w:lang w:val="en-GB"/>
        </w:rPr>
        <w:t>PO and SP</w:t>
      </w:r>
      <w:r w:rsidRPr="005D6C4B">
        <w:rPr>
          <w:sz w:val="22"/>
          <w:szCs w:val="22"/>
          <w:lang w:val="en-GB"/>
        </w:rPr>
        <w:t xml:space="preserve">. </w:t>
      </w:r>
      <w:r w:rsidR="003922CC" w:rsidRPr="005D6C4B">
        <w:rPr>
          <w:sz w:val="22"/>
          <w:szCs w:val="22"/>
          <w:lang w:val="en-GB"/>
        </w:rPr>
        <w:t xml:space="preserve">We thought that </w:t>
      </w:r>
      <w:r w:rsidR="002F7B06" w:rsidRPr="005D6C4B">
        <w:rPr>
          <w:sz w:val="22"/>
          <w:szCs w:val="22"/>
          <w:lang w:val="en-GB"/>
        </w:rPr>
        <w:t xml:space="preserve">the angle between PO and SP (∆) could be </w:t>
      </w:r>
      <w:r w:rsidR="003922CC" w:rsidRPr="005D6C4B">
        <w:rPr>
          <w:sz w:val="22"/>
          <w:szCs w:val="22"/>
          <w:lang w:val="en-GB"/>
        </w:rPr>
        <w:t xml:space="preserve">a </w:t>
      </w:r>
      <w:r w:rsidR="00977B0C" w:rsidRPr="005D6C4B">
        <w:rPr>
          <w:sz w:val="22"/>
          <w:szCs w:val="22"/>
          <w:lang w:val="en-GB"/>
        </w:rPr>
        <w:t>more reliable</w:t>
      </w:r>
      <w:r w:rsidR="005124E4" w:rsidRPr="005D6C4B">
        <w:rPr>
          <w:sz w:val="22"/>
          <w:szCs w:val="22"/>
          <w:lang w:val="en-GB"/>
        </w:rPr>
        <w:t xml:space="preserve"> measurement between dif</w:t>
      </w:r>
      <w:r w:rsidR="003922CC" w:rsidRPr="005D6C4B">
        <w:rPr>
          <w:sz w:val="22"/>
          <w:szCs w:val="22"/>
          <w:lang w:val="en-GB"/>
        </w:rPr>
        <w:t>ferent</w:t>
      </w:r>
      <w:r w:rsidR="002F7B06" w:rsidRPr="005D6C4B">
        <w:rPr>
          <w:sz w:val="22"/>
          <w:szCs w:val="22"/>
          <w:lang w:val="en-GB"/>
        </w:rPr>
        <w:t xml:space="preserve"> sessions</w:t>
      </w:r>
      <w:r w:rsidRPr="005D6C4B">
        <w:rPr>
          <w:sz w:val="22"/>
          <w:szCs w:val="22"/>
          <w:lang w:val="en-GB"/>
        </w:rPr>
        <w:t xml:space="preserve">. </w:t>
      </w:r>
      <w:r w:rsidR="00A23A5E" w:rsidRPr="005D6C4B">
        <w:rPr>
          <w:sz w:val="22"/>
          <w:szCs w:val="22"/>
          <w:lang w:val="en-GB"/>
        </w:rPr>
        <w:t>Our aim was to investigate</w:t>
      </w:r>
      <w:r w:rsidRPr="005D6C4B">
        <w:rPr>
          <w:sz w:val="22"/>
          <w:szCs w:val="22"/>
          <w:lang w:val="en-GB"/>
        </w:rPr>
        <w:t xml:space="preserve"> the intra- and inter-session reliability of </w:t>
      </w:r>
      <w:r w:rsidR="00831848" w:rsidRPr="005D6C4B">
        <w:rPr>
          <w:sz w:val="22"/>
          <w:szCs w:val="22"/>
          <w:lang w:val="en-GB"/>
        </w:rPr>
        <w:t>∆</w:t>
      </w:r>
      <w:r w:rsidR="003922CC" w:rsidRPr="005D6C4B">
        <w:rPr>
          <w:sz w:val="22"/>
          <w:szCs w:val="22"/>
          <w:lang w:val="en-GB"/>
        </w:rPr>
        <w:t xml:space="preserve"> and test if it was higher </w:t>
      </w:r>
      <w:r w:rsidR="00A7202F" w:rsidRPr="005D6C4B">
        <w:rPr>
          <w:sz w:val="22"/>
          <w:szCs w:val="22"/>
          <w:lang w:val="en-GB"/>
        </w:rPr>
        <w:t>compared to</w:t>
      </w:r>
      <w:r w:rsidR="00E417EC" w:rsidRPr="005D6C4B">
        <w:rPr>
          <w:sz w:val="22"/>
          <w:szCs w:val="22"/>
          <w:lang w:val="en-GB"/>
        </w:rPr>
        <w:t xml:space="preserve"> the reliability of</w:t>
      </w:r>
      <w:r w:rsidR="0076298F" w:rsidRPr="005D6C4B">
        <w:rPr>
          <w:sz w:val="22"/>
          <w:szCs w:val="22"/>
          <w:lang w:val="en-GB"/>
        </w:rPr>
        <w:t xml:space="preserve"> </w:t>
      </w:r>
      <w:r w:rsidR="00831848" w:rsidRPr="005D6C4B">
        <w:rPr>
          <w:sz w:val="22"/>
          <w:szCs w:val="22"/>
          <w:lang w:val="en-GB"/>
        </w:rPr>
        <w:t>PO and SP angles of</w:t>
      </w:r>
      <w:r w:rsidR="00E417EC" w:rsidRPr="005D6C4B">
        <w:rPr>
          <w:sz w:val="22"/>
          <w:szCs w:val="22"/>
          <w:lang w:val="en-GB"/>
        </w:rPr>
        <w:t xml:space="preserve"> </w:t>
      </w:r>
      <w:r w:rsidR="00177F77" w:rsidRPr="00177F77">
        <w:rPr>
          <w:sz w:val="22"/>
          <w:szCs w:val="22"/>
          <w:lang w:val="en-GB"/>
        </w:rPr>
        <w:t>occurrence</w:t>
      </w:r>
      <w:r w:rsidRPr="00177F77">
        <w:rPr>
          <w:sz w:val="22"/>
          <w:szCs w:val="22"/>
        </w:rPr>
        <w:t>.</w:t>
      </w:r>
    </w:p>
    <w:p w14:paraId="0E2EF19D" w14:textId="2EE7EE3A" w:rsidR="00AF7877" w:rsidRPr="00177F77" w:rsidRDefault="00AF7877" w:rsidP="005124E4">
      <w:pPr>
        <w:spacing w:line="360" w:lineRule="auto"/>
        <w:ind w:right="-149"/>
        <w:jc w:val="both"/>
        <w:rPr>
          <w:b/>
          <w:sz w:val="22"/>
          <w:szCs w:val="22"/>
          <w:lang w:val="en-GB"/>
        </w:rPr>
      </w:pPr>
      <w:r w:rsidRPr="00177F77">
        <w:rPr>
          <w:b/>
          <w:sz w:val="22"/>
          <w:szCs w:val="22"/>
        </w:rPr>
        <w:t xml:space="preserve">Materials and methods. </w:t>
      </w:r>
      <w:r w:rsidR="00157AC3" w:rsidRPr="00177F77">
        <w:rPr>
          <w:sz w:val="22"/>
          <w:szCs w:val="22"/>
          <w:lang w:val="en-GB"/>
        </w:rPr>
        <w:t>Twenty-</w:t>
      </w:r>
      <w:r w:rsidRPr="00177F77">
        <w:rPr>
          <w:sz w:val="22"/>
          <w:szCs w:val="22"/>
          <w:lang w:val="en-GB"/>
        </w:rPr>
        <w:t>nine healthy volunteers (10 female, 19 male) participated. Each participant underwent three ULNT1 till PO and SP, twice in the first session and once in the second</w:t>
      </w:r>
      <w:r w:rsidR="001A4841" w:rsidRPr="00177F77">
        <w:rPr>
          <w:sz w:val="22"/>
          <w:szCs w:val="22"/>
          <w:lang w:val="en-GB"/>
        </w:rPr>
        <w:t xml:space="preserve"> (Figure 1)</w:t>
      </w:r>
      <w:r w:rsidRPr="00177F77">
        <w:rPr>
          <w:sz w:val="22"/>
          <w:szCs w:val="22"/>
          <w:lang w:val="en-GB"/>
        </w:rPr>
        <w:t xml:space="preserve">. A splint, a positioning device and an electromagnetic goniometer were used to standardize the procedure and record the angles of PO and SP occurrence. The intra- and inter-session reliability of </w:t>
      </w:r>
      <w:r w:rsidR="00831848" w:rsidRPr="00177F77">
        <w:rPr>
          <w:sz w:val="22"/>
          <w:szCs w:val="22"/>
          <w:lang w:val="en-GB"/>
        </w:rPr>
        <w:t xml:space="preserve">∆ </w:t>
      </w:r>
      <w:r w:rsidRPr="00177F77">
        <w:rPr>
          <w:sz w:val="22"/>
          <w:szCs w:val="22"/>
          <w:lang w:val="en-GB"/>
        </w:rPr>
        <w:t>w</w:t>
      </w:r>
      <w:r w:rsidR="00831848" w:rsidRPr="00177F77">
        <w:rPr>
          <w:sz w:val="22"/>
          <w:szCs w:val="22"/>
          <w:lang w:val="en-GB"/>
        </w:rPr>
        <w:t>as</w:t>
      </w:r>
      <w:r w:rsidRPr="00177F77">
        <w:rPr>
          <w:sz w:val="22"/>
          <w:szCs w:val="22"/>
          <w:lang w:val="en-GB"/>
        </w:rPr>
        <w:t xml:space="preserve"> examined using </w:t>
      </w:r>
      <w:proofErr w:type="spellStart"/>
      <w:r w:rsidRPr="00177F77">
        <w:rPr>
          <w:sz w:val="22"/>
          <w:szCs w:val="22"/>
          <w:lang w:val="en-GB"/>
        </w:rPr>
        <w:t>Intraclass</w:t>
      </w:r>
      <w:proofErr w:type="spellEnd"/>
      <w:r w:rsidRPr="00177F77">
        <w:rPr>
          <w:sz w:val="22"/>
          <w:szCs w:val="22"/>
          <w:lang w:val="en-GB"/>
        </w:rPr>
        <w:t xml:space="preserve"> Correlation Coefficient (ICC</w:t>
      </w:r>
      <w:r w:rsidRPr="00596680">
        <w:rPr>
          <w:sz w:val="22"/>
          <w:szCs w:val="22"/>
          <w:vertAlign w:val="subscript"/>
          <w:lang w:val="en-GB"/>
        </w:rPr>
        <w:t xml:space="preserve"> 3,1</w:t>
      </w:r>
      <w:r w:rsidRPr="00596680">
        <w:rPr>
          <w:sz w:val="22"/>
          <w:szCs w:val="22"/>
          <w:lang w:val="en-GB"/>
        </w:rPr>
        <w:t xml:space="preserve">) and Bland-Altman plots. </w:t>
      </w:r>
      <w:r w:rsidR="005D6C4B">
        <w:rPr>
          <w:sz w:val="22"/>
          <w:szCs w:val="22"/>
          <w:lang w:val="en-GB"/>
        </w:rPr>
        <w:t>Similarly</w:t>
      </w:r>
      <w:r w:rsidR="005D6C4B" w:rsidRPr="00596680">
        <w:rPr>
          <w:sz w:val="22"/>
          <w:szCs w:val="22"/>
          <w:lang w:val="en-GB"/>
        </w:rPr>
        <w:t xml:space="preserve"> </w:t>
      </w:r>
      <w:r w:rsidRPr="00596680">
        <w:rPr>
          <w:sz w:val="22"/>
          <w:szCs w:val="22"/>
          <w:lang w:val="en-GB"/>
        </w:rPr>
        <w:t>the intra- and inter-session reliability of PO and SP angles of occurrence was explored.</w:t>
      </w:r>
    </w:p>
    <w:p w14:paraId="39F7C198" w14:textId="1A037337" w:rsidR="00AF7877" w:rsidRPr="00596680" w:rsidRDefault="00AF7877" w:rsidP="005124E4">
      <w:pPr>
        <w:spacing w:line="360" w:lineRule="auto"/>
        <w:ind w:right="-149"/>
        <w:jc w:val="both"/>
        <w:rPr>
          <w:sz w:val="22"/>
          <w:szCs w:val="22"/>
          <w:lang w:val="en-GB"/>
        </w:rPr>
      </w:pPr>
      <w:r w:rsidRPr="00177F77">
        <w:rPr>
          <w:b/>
          <w:sz w:val="22"/>
          <w:szCs w:val="22"/>
          <w:lang w:val="en-GB"/>
        </w:rPr>
        <w:t>Results</w:t>
      </w:r>
      <w:r w:rsidR="004C1507">
        <w:rPr>
          <w:b/>
          <w:sz w:val="22"/>
          <w:szCs w:val="22"/>
          <w:lang w:val="en-GB"/>
        </w:rPr>
        <w:t>.</w:t>
      </w:r>
      <w:r w:rsidR="004C1507" w:rsidRPr="00177F77">
        <w:rPr>
          <w:b/>
          <w:sz w:val="22"/>
          <w:szCs w:val="22"/>
          <w:lang w:val="en-GB"/>
        </w:rPr>
        <w:t xml:space="preserve"> </w:t>
      </w:r>
      <w:r w:rsidRPr="00177F77">
        <w:rPr>
          <w:sz w:val="22"/>
          <w:szCs w:val="22"/>
          <w:lang w:val="en-GB"/>
        </w:rPr>
        <w:t xml:space="preserve">The intra- and inter-session ICC values for </w:t>
      </w:r>
      <w:r w:rsidR="00831848" w:rsidRPr="00177F77">
        <w:rPr>
          <w:sz w:val="22"/>
          <w:szCs w:val="22"/>
          <w:lang w:val="en-GB"/>
        </w:rPr>
        <w:t xml:space="preserve">∆ </w:t>
      </w:r>
      <w:r w:rsidRPr="00177F77">
        <w:rPr>
          <w:sz w:val="22"/>
          <w:szCs w:val="22"/>
          <w:lang w:val="en-GB"/>
        </w:rPr>
        <w:t xml:space="preserve">were 0.71 (95% CI: </w:t>
      </w:r>
      <w:r w:rsidRPr="00177F77">
        <w:rPr>
          <w:rFonts w:eastAsia="Times New Roman"/>
          <w:sz w:val="22"/>
          <w:szCs w:val="22"/>
          <w:lang w:val="en-GB"/>
        </w:rPr>
        <w:t>0.47;0</w:t>
      </w:r>
      <w:proofErr w:type="gramStart"/>
      <w:r w:rsidRPr="00177F77">
        <w:rPr>
          <w:rFonts w:eastAsia="Times New Roman"/>
          <w:sz w:val="22"/>
          <w:szCs w:val="22"/>
          <w:lang w:val="en-GB"/>
        </w:rPr>
        <w:t>.85</w:t>
      </w:r>
      <w:proofErr w:type="gramEnd"/>
      <w:r w:rsidRPr="00177F77">
        <w:rPr>
          <w:rFonts w:eastAsia="Times New Roman"/>
          <w:sz w:val="22"/>
          <w:szCs w:val="22"/>
          <w:lang w:val="en-GB"/>
        </w:rPr>
        <w:t>),</w:t>
      </w:r>
      <w:r w:rsidRPr="00177F77">
        <w:rPr>
          <w:sz w:val="22"/>
          <w:szCs w:val="22"/>
          <w:lang w:val="en-GB"/>
        </w:rPr>
        <w:t xml:space="preserve"> and 0.79 (95% CI: </w:t>
      </w:r>
      <w:r w:rsidRPr="00177F77">
        <w:rPr>
          <w:rFonts w:eastAsia="Times New Roman"/>
          <w:sz w:val="22"/>
          <w:szCs w:val="22"/>
          <w:lang w:val="en-GB"/>
        </w:rPr>
        <w:t>0.60;0.89), respectively</w:t>
      </w:r>
      <w:r w:rsidRPr="00177F77">
        <w:rPr>
          <w:sz w:val="22"/>
          <w:szCs w:val="22"/>
          <w:lang w:val="en-GB"/>
        </w:rPr>
        <w:t xml:space="preserve">. The intra- and inter-session mean difference and </w:t>
      </w:r>
      <w:r w:rsidRPr="00177F77">
        <w:rPr>
          <w:sz w:val="22"/>
          <w:szCs w:val="22"/>
          <w:lang w:val="en-GB" w:eastAsia="ja-JP"/>
        </w:rPr>
        <w:t>95% limits of agreement (± 1.96 SD)</w:t>
      </w:r>
      <w:r w:rsidRPr="00177F77">
        <w:rPr>
          <w:sz w:val="22"/>
          <w:szCs w:val="22"/>
          <w:lang w:val="en-GB"/>
        </w:rPr>
        <w:t xml:space="preserve"> in the Bland-Altman plots were 2.3° (-18.3°</w:t>
      </w:r>
      <w:proofErr w:type="gramStart"/>
      <w:r w:rsidRPr="00177F77">
        <w:rPr>
          <w:sz w:val="22"/>
          <w:szCs w:val="22"/>
          <w:lang w:val="en-GB"/>
        </w:rPr>
        <w:t>;23.1</w:t>
      </w:r>
      <w:proofErr w:type="gramEnd"/>
      <w:r w:rsidRPr="00177F77">
        <w:rPr>
          <w:sz w:val="22"/>
          <w:szCs w:val="22"/>
          <w:lang w:val="en-GB"/>
        </w:rPr>
        <w:t>°), and 2.8°</w:t>
      </w:r>
      <w:r w:rsidR="004F07DD" w:rsidRPr="00177F77">
        <w:rPr>
          <w:sz w:val="22"/>
          <w:szCs w:val="22"/>
          <w:lang w:val="en-GB"/>
        </w:rPr>
        <w:t xml:space="preserve"> </w:t>
      </w:r>
      <w:r w:rsidRPr="00177F77">
        <w:rPr>
          <w:sz w:val="22"/>
          <w:szCs w:val="22"/>
          <w:lang w:val="en-GB"/>
        </w:rPr>
        <w:t>(-14.7°;20.4°), respectively</w:t>
      </w:r>
      <w:r w:rsidR="007671AE" w:rsidRPr="00177F77">
        <w:rPr>
          <w:sz w:val="22"/>
          <w:szCs w:val="22"/>
          <w:lang w:val="en-GB"/>
        </w:rPr>
        <w:t xml:space="preserve">. ICC and </w:t>
      </w:r>
      <w:r w:rsidR="00251EA4" w:rsidRPr="00596680">
        <w:rPr>
          <w:sz w:val="22"/>
          <w:szCs w:val="22"/>
          <w:lang w:val="en-GB"/>
        </w:rPr>
        <w:t xml:space="preserve">Bland-Altman </w:t>
      </w:r>
      <w:r w:rsidR="007671AE" w:rsidRPr="00177F77">
        <w:rPr>
          <w:sz w:val="22"/>
          <w:szCs w:val="22"/>
          <w:lang w:val="en-GB"/>
        </w:rPr>
        <w:t>plots values are reported in Table 1</w:t>
      </w:r>
      <w:r w:rsidRPr="00596680">
        <w:rPr>
          <w:sz w:val="22"/>
          <w:szCs w:val="22"/>
          <w:lang w:val="en-GB"/>
        </w:rPr>
        <w:t>.</w:t>
      </w:r>
    </w:p>
    <w:p w14:paraId="70CAB6D8" w14:textId="0D3ABE6F" w:rsidR="00AF7877" w:rsidRPr="00177F77" w:rsidRDefault="00AF7877" w:rsidP="005124E4">
      <w:pPr>
        <w:spacing w:line="360" w:lineRule="auto"/>
        <w:ind w:right="-149"/>
        <w:jc w:val="both"/>
        <w:rPr>
          <w:b/>
          <w:sz w:val="22"/>
          <w:szCs w:val="22"/>
          <w:lang w:val="en-GB"/>
        </w:rPr>
      </w:pPr>
      <w:proofErr w:type="gramStart"/>
      <w:r w:rsidRPr="00177F77">
        <w:rPr>
          <w:b/>
          <w:sz w:val="22"/>
          <w:szCs w:val="22"/>
          <w:lang w:val="en-GB"/>
        </w:rPr>
        <w:t>Discussion and conclusions</w:t>
      </w:r>
      <w:r w:rsidR="004C1507">
        <w:rPr>
          <w:b/>
          <w:sz w:val="22"/>
          <w:szCs w:val="22"/>
          <w:lang w:val="en-GB"/>
        </w:rPr>
        <w:t>.</w:t>
      </w:r>
      <w:proofErr w:type="gramEnd"/>
      <w:r w:rsidRPr="00177F77">
        <w:rPr>
          <w:b/>
          <w:sz w:val="22"/>
          <w:szCs w:val="22"/>
          <w:lang w:val="en-GB"/>
        </w:rPr>
        <w:t xml:space="preserve"> </w:t>
      </w:r>
      <w:r w:rsidRPr="00177F77">
        <w:rPr>
          <w:sz w:val="22"/>
          <w:szCs w:val="22"/>
          <w:lang w:val="en-GB"/>
        </w:rPr>
        <w:t xml:space="preserve">The intra- and inter-session reliability of </w:t>
      </w:r>
      <w:r w:rsidR="00831848" w:rsidRPr="00177F77">
        <w:rPr>
          <w:sz w:val="22"/>
          <w:szCs w:val="22"/>
          <w:lang w:val="en-GB"/>
        </w:rPr>
        <w:t xml:space="preserve">∆ </w:t>
      </w:r>
      <w:r w:rsidRPr="00177F77">
        <w:rPr>
          <w:sz w:val="22"/>
          <w:szCs w:val="22"/>
          <w:lang w:val="en-GB"/>
        </w:rPr>
        <w:t>during the ULNT1</w:t>
      </w:r>
      <w:r w:rsidRPr="00177F77">
        <w:rPr>
          <w:bCs/>
          <w:sz w:val="22"/>
          <w:szCs w:val="22"/>
          <w:lang w:val="en-GB"/>
        </w:rPr>
        <w:t xml:space="preserve"> in healthy individuals</w:t>
      </w:r>
      <w:r w:rsidRPr="00177F77">
        <w:rPr>
          <w:sz w:val="22"/>
          <w:szCs w:val="22"/>
          <w:lang w:val="en-GB"/>
        </w:rPr>
        <w:t xml:space="preserve"> </w:t>
      </w:r>
      <w:r w:rsidR="003A5024" w:rsidRPr="00177F77">
        <w:rPr>
          <w:sz w:val="22"/>
          <w:szCs w:val="22"/>
          <w:lang w:val="en-GB"/>
        </w:rPr>
        <w:t>is</w:t>
      </w:r>
      <w:r w:rsidR="00831848" w:rsidRPr="00177F77">
        <w:rPr>
          <w:sz w:val="22"/>
          <w:szCs w:val="22"/>
          <w:lang w:val="en-GB"/>
        </w:rPr>
        <w:t xml:space="preserve"> </w:t>
      </w:r>
      <w:r w:rsidR="003A5024" w:rsidRPr="00177F77">
        <w:rPr>
          <w:sz w:val="22"/>
          <w:szCs w:val="22"/>
          <w:lang w:val="en-GB"/>
        </w:rPr>
        <w:t xml:space="preserve">high, and </w:t>
      </w:r>
      <w:r w:rsidRPr="00177F77">
        <w:rPr>
          <w:sz w:val="22"/>
          <w:szCs w:val="22"/>
          <w:lang w:val="en-GB"/>
        </w:rPr>
        <w:t>high</w:t>
      </w:r>
      <w:r w:rsidR="00CD752B" w:rsidRPr="00177F77">
        <w:rPr>
          <w:sz w:val="22"/>
          <w:szCs w:val="22"/>
          <w:lang w:val="en-GB"/>
        </w:rPr>
        <w:t xml:space="preserve">er than the reliability of </w:t>
      </w:r>
      <w:r w:rsidR="00831848" w:rsidRPr="00177F77">
        <w:rPr>
          <w:sz w:val="22"/>
          <w:szCs w:val="22"/>
          <w:lang w:val="en-GB"/>
        </w:rPr>
        <w:t>PO and SP</w:t>
      </w:r>
      <w:r w:rsidR="00372AD3" w:rsidRPr="00177F77">
        <w:rPr>
          <w:sz w:val="22"/>
          <w:szCs w:val="22"/>
          <w:lang w:val="en-GB"/>
        </w:rPr>
        <w:t xml:space="preserve"> </w:t>
      </w:r>
      <w:r w:rsidR="00831848" w:rsidRPr="00177F77">
        <w:rPr>
          <w:sz w:val="22"/>
          <w:szCs w:val="22"/>
          <w:lang w:val="en-GB"/>
        </w:rPr>
        <w:t>angles of</w:t>
      </w:r>
      <w:r w:rsidR="00CD752B" w:rsidRPr="00177F77">
        <w:rPr>
          <w:sz w:val="22"/>
          <w:szCs w:val="22"/>
          <w:lang w:val="en-GB"/>
        </w:rPr>
        <w:t xml:space="preserve"> occur</w:t>
      </w:r>
      <w:r w:rsidR="003B0441">
        <w:rPr>
          <w:sz w:val="22"/>
          <w:szCs w:val="22"/>
          <w:lang w:val="en-GB"/>
        </w:rPr>
        <w:t>r</w:t>
      </w:r>
      <w:r w:rsidR="00CD752B" w:rsidRPr="00177F77">
        <w:rPr>
          <w:sz w:val="22"/>
          <w:szCs w:val="22"/>
          <w:lang w:val="en-GB"/>
        </w:rPr>
        <w:t>ence</w:t>
      </w:r>
      <w:r w:rsidR="0096217D" w:rsidRPr="00177F77">
        <w:rPr>
          <w:sz w:val="22"/>
          <w:szCs w:val="22"/>
          <w:lang w:val="en-GB"/>
        </w:rPr>
        <w:t xml:space="preserve">. </w:t>
      </w:r>
      <w:r w:rsidR="002D7756" w:rsidRPr="00177F77">
        <w:rPr>
          <w:sz w:val="22"/>
          <w:szCs w:val="22"/>
          <w:lang w:val="en-GB"/>
        </w:rPr>
        <w:t xml:space="preserve">Thus </w:t>
      </w:r>
      <w:r w:rsidR="005124E4" w:rsidRPr="00177F77">
        <w:rPr>
          <w:sz w:val="22"/>
          <w:szCs w:val="22"/>
          <w:lang w:val="en-GB"/>
        </w:rPr>
        <w:t>∆</w:t>
      </w:r>
      <w:r w:rsidRPr="00177F77">
        <w:rPr>
          <w:sz w:val="22"/>
          <w:szCs w:val="22"/>
          <w:lang w:val="en-GB"/>
        </w:rPr>
        <w:t xml:space="preserve"> </w:t>
      </w:r>
      <w:r w:rsidR="00D82C51" w:rsidRPr="00177F77">
        <w:rPr>
          <w:sz w:val="22"/>
          <w:szCs w:val="22"/>
          <w:lang w:val="en-GB"/>
        </w:rPr>
        <w:t>could</w:t>
      </w:r>
      <w:r w:rsidRPr="00177F77">
        <w:rPr>
          <w:sz w:val="22"/>
          <w:szCs w:val="22"/>
          <w:lang w:val="en-GB"/>
        </w:rPr>
        <w:t xml:space="preserve"> be a </w:t>
      </w:r>
      <w:r w:rsidR="005124E4" w:rsidRPr="00177F77">
        <w:rPr>
          <w:sz w:val="22"/>
          <w:szCs w:val="22"/>
          <w:lang w:val="en-GB"/>
        </w:rPr>
        <w:t xml:space="preserve">preferable </w:t>
      </w:r>
      <w:r w:rsidRPr="00177F77">
        <w:rPr>
          <w:sz w:val="22"/>
          <w:szCs w:val="22"/>
          <w:lang w:val="en-GB"/>
        </w:rPr>
        <w:t xml:space="preserve">variable in the assessment of neural </w:t>
      </w:r>
      <w:proofErr w:type="spellStart"/>
      <w:r w:rsidRPr="00177F77">
        <w:rPr>
          <w:sz w:val="22"/>
          <w:szCs w:val="22"/>
          <w:lang w:val="en-GB"/>
        </w:rPr>
        <w:t>mechanosensitivity</w:t>
      </w:r>
      <w:proofErr w:type="spellEnd"/>
      <w:r w:rsidRPr="00177F77">
        <w:rPr>
          <w:sz w:val="22"/>
          <w:szCs w:val="22"/>
          <w:lang w:val="en-GB"/>
        </w:rPr>
        <w:t xml:space="preserve">. </w:t>
      </w:r>
      <w:r w:rsidRPr="00177F77">
        <w:rPr>
          <w:bCs/>
          <w:sz w:val="22"/>
          <w:szCs w:val="22"/>
          <w:lang w:val="en-GB" w:eastAsia="ja-JP"/>
        </w:rPr>
        <w:t>Further research should test the</w:t>
      </w:r>
      <w:r w:rsidRPr="00177F77">
        <w:rPr>
          <w:sz w:val="22"/>
          <w:szCs w:val="22"/>
          <w:lang w:val="en-GB"/>
        </w:rPr>
        <w:t xml:space="preserve"> </w:t>
      </w:r>
      <w:r w:rsidR="003A5024" w:rsidRPr="00177F77">
        <w:rPr>
          <w:sz w:val="22"/>
          <w:szCs w:val="22"/>
          <w:lang w:val="en-GB"/>
        </w:rPr>
        <w:t>∆</w:t>
      </w:r>
      <w:r w:rsidR="002D7756" w:rsidRPr="00177F77">
        <w:rPr>
          <w:sz w:val="22"/>
          <w:szCs w:val="22"/>
          <w:lang w:val="en-GB"/>
        </w:rPr>
        <w:t xml:space="preserve"> reliability</w:t>
      </w:r>
      <w:r w:rsidR="003A5024" w:rsidRPr="00177F77">
        <w:rPr>
          <w:sz w:val="22"/>
          <w:szCs w:val="22"/>
          <w:lang w:val="en-GB"/>
        </w:rPr>
        <w:t xml:space="preserve"> </w:t>
      </w:r>
      <w:r w:rsidRPr="00177F77">
        <w:rPr>
          <w:sz w:val="22"/>
          <w:szCs w:val="22"/>
          <w:lang w:val="en-GB"/>
        </w:rPr>
        <w:t xml:space="preserve">in </w:t>
      </w:r>
      <w:r w:rsidR="00251EA4">
        <w:rPr>
          <w:sz w:val="22"/>
          <w:szCs w:val="22"/>
          <w:lang w:val="en-GB"/>
        </w:rPr>
        <w:t>the</w:t>
      </w:r>
      <w:r w:rsidR="00251EA4" w:rsidRPr="00177F77">
        <w:rPr>
          <w:sz w:val="22"/>
          <w:szCs w:val="22"/>
          <w:lang w:val="en-GB"/>
        </w:rPr>
        <w:t xml:space="preserve"> </w:t>
      </w:r>
      <w:r w:rsidRPr="00177F77">
        <w:rPr>
          <w:sz w:val="22"/>
          <w:szCs w:val="22"/>
          <w:lang w:val="en-GB"/>
        </w:rPr>
        <w:t>clinical setting.</w:t>
      </w:r>
    </w:p>
    <w:p w14:paraId="174346FF" w14:textId="374EBAD2" w:rsidR="005124E4" w:rsidRDefault="00AF7877" w:rsidP="005124E4">
      <w:pPr>
        <w:spacing w:line="480" w:lineRule="auto"/>
        <w:ind w:right="-149"/>
        <w:jc w:val="both"/>
        <w:rPr>
          <w:sz w:val="22"/>
          <w:szCs w:val="22"/>
        </w:rPr>
      </w:pPr>
      <w:proofErr w:type="spellStart"/>
      <w:r w:rsidRPr="00AF3239">
        <w:rPr>
          <w:b/>
          <w:sz w:val="22"/>
          <w:szCs w:val="22"/>
        </w:rPr>
        <w:t>Keywords</w:t>
      </w:r>
      <w:proofErr w:type="spellEnd"/>
      <w:r w:rsidR="004C1507">
        <w:rPr>
          <w:b/>
          <w:sz w:val="22"/>
          <w:szCs w:val="22"/>
        </w:rPr>
        <w:t>:</w:t>
      </w:r>
      <w:r w:rsidRPr="00AF3239">
        <w:rPr>
          <w:b/>
          <w:sz w:val="22"/>
          <w:szCs w:val="22"/>
        </w:rPr>
        <w:t xml:space="preserve"> </w:t>
      </w:r>
      <w:r w:rsidR="004C1507">
        <w:rPr>
          <w:sz w:val="22"/>
          <w:szCs w:val="22"/>
        </w:rPr>
        <w:t>r</w:t>
      </w:r>
      <w:r w:rsidR="004C1507" w:rsidRPr="00AF3239">
        <w:rPr>
          <w:sz w:val="22"/>
          <w:szCs w:val="22"/>
        </w:rPr>
        <w:t>eliability</w:t>
      </w:r>
      <w:r w:rsidR="00AF3239" w:rsidRPr="00AF3239">
        <w:rPr>
          <w:sz w:val="22"/>
          <w:szCs w:val="22"/>
        </w:rPr>
        <w:t xml:space="preserve">, </w:t>
      </w:r>
      <w:proofErr w:type="spellStart"/>
      <w:r w:rsidR="00AF3239" w:rsidRPr="00AF3239">
        <w:rPr>
          <w:sz w:val="22"/>
          <w:szCs w:val="22"/>
        </w:rPr>
        <w:t>neurodynamics</w:t>
      </w:r>
      <w:proofErr w:type="spellEnd"/>
      <w:r w:rsidR="00AF3239" w:rsidRPr="00AF3239">
        <w:rPr>
          <w:sz w:val="22"/>
          <w:szCs w:val="22"/>
        </w:rPr>
        <w:t xml:space="preserve">, ULNT1, </w:t>
      </w:r>
      <w:proofErr w:type="spellStart"/>
      <w:r w:rsidR="00AF3239" w:rsidRPr="00AF3239">
        <w:rPr>
          <w:sz w:val="22"/>
          <w:szCs w:val="22"/>
        </w:rPr>
        <w:t>pain</w:t>
      </w:r>
      <w:proofErr w:type="spellEnd"/>
      <w:r w:rsidR="00AF3239" w:rsidRPr="00AF3239">
        <w:rPr>
          <w:sz w:val="22"/>
          <w:szCs w:val="22"/>
        </w:rPr>
        <w:t xml:space="preserve"> </w:t>
      </w:r>
      <w:proofErr w:type="spellStart"/>
      <w:r w:rsidR="00AF3239" w:rsidRPr="00AF3239">
        <w:rPr>
          <w:sz w:val="22"/>
          <w:szCs w:val="22"/>
        </w:rPr>
        <w:t>onset</w:t>
      </w:r>
      <w:proofErr w:type="spellEnd"/>
      <w:r w:rsidR="00AF3239" w:rsidRPr="00AF3239">
        <w:rPr>
          <w:sz w:val="22"/>
          <w:szCs w:val="22"/>
        </w:rPr>
        <w:t xml:space="preserve">, </w:t>
      </w:r>
      <w:proofErr w:type="spellStart"/>
      <w:r w:rsidR="00AF3239" w:rsidRPr="00AF3239">
        <w:rPr>
          <w:sz w:val="22"/>
          <w:szCs w:val="22"/>
        </w:rPr>
        <w:t>submaximal</w:t>
      </w:r>
      <w:proofErr w:type="spellEnd"/>
      <w:r w:rsidR="00AF3239" w:rsidRPr="00AF3239">
        <w:rPr>
          <w:sz w:val="22"/>
          <w:szCs w:val="22"/>
        </w:rPr>
        <w:t xml:space="preserve"> </w:t>
      </w:r>
      <w:proofErr w:type="spellStart"/>
      <w:r w:rsidR="00AF3239" w:rsidRPr="00AF3239">
        <w:rPr>
          <w:sz w:val="22"/>
          <w:szCs w:val="22"/>
        </w:rPr>
        <w:t>pain</w:t>
      </w:r>
      <w:proofErr w:type="spellEnd"/>
    </w:p>
    <w:p w14:paraId="4CE897BA" w14:textId="77777777" w:rsidR="0076208C" w:rsidRDefault="0076208C" w:rsidP="005D6C4B">
      <w:pPr>
        <w:spacing w:line="480" w:lineRule="auto"/>
        <w:ind w:right="-149"/>
        <w:jc w:val="both"/>
        <w:rPr>
          <w:b/>
          <w:sz w:val="22"/>
          <w:szCs w:val="22"/>
        </w:rPr>
      </w:pPr>
    </w:p>
    <w:p w14:paraId="3F97CBCB" w14:textId="77777777" w:rsidR="005D6C4B" w:rsidRPr="003922CC" w:rsidRDefault="005D6C4B" w:rsidP="005D6C4B">
      <w:pPr>
        <w:spacing w:line="480" w:lineRule="auto"/>
        <w:ind w:right="-149"/>
        <w:jc w:val="both"/>
        <w:rPr>
          <w:sz w:val="22"/>
          <w:szCs w:val="22"/>
        </w:rPr>
      </w:pPr>
      <w:proofErr w:type="spellStart"/>
      <w:r w:rsidRPr="00AF3239">
        <w:rPr>
          <w:b/>
          <w:sz w:val="22"/>
          <w:szCs w:val="22"/>
        </w:rPr>
        <w:lastRenderedPageBreak/>
        <w:t>Bibliography</w:t>
      </w:r>
      <w:proofErr w:type="spellEnd"/>
    </w:p>
    <w:p w14:paraId="3D71F287" w14:textId="77777777" w:rsidR="005D6C4B" w:rsidRPr="005124E4" w:rsidRDefault="005D6C4B" w:rsidP="005D6C4B">
      <w:pPr>
        <w:pStyle w:val="Paragrafoelenco"/>
        <w:numPr>
          <w:ilvl w:val="0"/>
          <w:numId w:val="2"/>
        </w:numPr>
        <w:spacing w:line="360" w:lineRule="auto"/>
        <w:ind w:left="426" w:right="-149" w:hanging="426"/>
        <w:jc w:val="both"/>
        <w:rPr>
          <w:noProof/>
          <w:sz w:val="22"/>
          <w:szCs w:val="22"/>
        </w:rPr>
      </w:pPr>
      <w:r w:rsidRPr="00AF3239">
        <w:rPr>
          <w:noProof/>
          <w:sz w:val="22"/>
          <w:szCs w:val="22"/>
        </w:rPr>
        <w:t xml:space="preserve">Coppieters M, Stappaerts K, Janssens K, Jull G. Reliability of detecting 'onset of pain' and 'submaximal </w:t>
      </w:r>
      <w:r w:rsidRPr="005124E4">
        <w:rPr>
          <w:noProof/>
          <w:sz w:val="22"/>
          <w:szCs w:val="22"/>
        </w:rPr>
        <w:t>pain' during neural provocation testing of the upper quadrant. Physiother Res Int. 2002;7(3):146-56.</w:t>
      </w:r>
    </w:p>
    <w:p w14:paraId="5771FF55" w14:textId="77777777" w:rsidR="005D6C4B" w:rsidRPr="00AF3239" w:rsidRDefault="005D6C4B" w:rsidP="005D6C4B">
      <w:pPr>
        <w:pStyle w:val="Paragrafoelenco"/>
        <w:numPr>
          <w:ilvl w:val="0"/>
          <w:numId w:val="2"/>
        </w:numPr>
        <w:spacing w:line="360" w:lineRule="auto"/>
        <w:ind w:left="426" w:right="-149" w:hanging="426"/>
        <w:jc w:val="both"/>
        <w:rPr>
          <w:noProof/>
          <w:sz w:val="22"/>
          <w:szCs w:val="22"/>
        </w:rPr>
      </w:pPr>
      <w:r w:rsidRPr="005124E4">
        <w:rPr>
          <w:noProof/>
          <w:sz w:val="22"/>
          <w:szCs w:val="22"/>
        </w:rPr>
        <w:t>Elvey RL. Physical evaluation of the peripheral nervous system in disorders of pain and dysfunction. Journal of hand therapy : official journal of the American Society of Hand Therapists. 1997;10(2):122-9</w:t>
      </w:r>
      <w:r>
        <w:rPr>
          <w:rFonts w:ascii="Arial" w:hAnsi="Arial" w:cs="Arial"/>
          <w:noProof/>
        </w:rPr>
        <w:t>.</w:t>
      </w:r>
    </w:p>
    <w:p w14:paraId="4B5D34FF" w14:textId="77777777" w:rsidR="005D6C4B" w:rsidRPr="003A11AB" w:rsidRDefault="005D6C4B" w:rsidP="005D6C4B">
      <w:pPr>
        <w:pStyle w:val="Paragrafoelenco"/>
        <w:numPr>
          <w:ilvl w:val="0"/>
          <w:numId w:val="2"/>
        </w:numPr>
        <w:spacing w:line="360" w:lineRule="auto"/>
        <w:ind w:left="426" w:right="-149" w:hanging="426"/>
        <w:jc w:val="both"/>
        <w:rPr>
          <w:noProof/>
          <w:sz w:val="22"/>
          <w:szCs w:val="22"/>
        </w:rPr>
      </w:pPr>
      <w:r w:rsidRPr="00AF3239">
        <w:rPr>
          <w:noProof/>
          <w:sz w:val="22"/>
          <w:szCs w:val="22"/>
        </w:rPr>
        <w:t xml:space="preserve">Nee RJ, Jull GA, Vicenzino B, Coppieters MW. The validity of upper-limb neurodynamic tests for </w:t>
      </w:r>
      <w:r w:rsidRPr="003A11AB">
        <w:rPr>
          <w:noProof/>
          <w:sz w:val="22"/>
          <w:szCs w:val="22"/>
        </w:rPr>
        <w:t xml:space="preserve">detecting peripheral neuropathic pain. The Journal of orthopaedic and sports physical therapy. 2012;42(5):413-24. </w:t>
      </w:r>
    </w:p>
    <w:p w14:paraId="51C701AA" w14:textId="77777777" w:rsidR="005D6C4B" w:rsidRPr="003A11AB" w:rsidRDefault="005D6C4B" w:rsidP="005D6C4B">
      <w:pPr>
        <w:pStyle w:val="Paragrafoelenco"/>
        <w:numPr>
          <w:ilvl w:val="0"/>
          <w:numId w:val="2"/>
        </w:numPr>
        <w:spacing w:line="360" w:lineRule="auto"/>
        <w:ind w:left="426" w:right="-149" w:hanging="426"/>
        <w:jc w:val="both"/>
        <w:rPr>
          <w:noProof/>
          <w:sz w:val="22"/>
          <w:szCs w:val="22"/>
        </w:rPr>
      </w:pPr>
      <w:r w:rsidRPr="003A11AB">
        <w:rPr>
          <w:noProof/>
          <w:sz w:val="22"/>
          <w:szCs w:val="22"/>
        </w:rPr>
        <w:t xml:space="preserve">Oliver GS, Rushton A. A study to explore the reliability and precision of intra and inter-rater measures of ULNT1 on an asymptomatic population. Manual therapy. 2011;16(2):203-6. </w:t>
      </w:r>
    </w:p>
    <w:p w14:paraId="5A97A73B" w14:textId="77777777" w:rsidR="005D6C4B" w:rsidRPr="002C316C" w:rsidRDefault="005D6C4B" w:rsidP="005D6C4B">
      <w:pPr>
        <w:pStyle w:val="Paragrafoelenco"/>
        <w:numPr>
          <w:ilvl w:val="0"/>
          <w:numId w:val="2"/>
        </w:numPr>
        <w:spacing w:after="60" w:line="360" w:lineRule="auto"/>
        <w:ind w:left="425" w:right="-147" w:hanging="425"/>
        <w:jc w:val="both"/>
        <w:rPr>
          <w:sz w:val="22"/>
          <w:szCs w:val="22"/>
        </w:rPr>
      </w:pPr>
      <w:r w:rsidRPr="003A11AB">
        <w:rPr>
          <w:noProof/>
          <w:sz w:val="22"/>
          <w:szCs w:val="22"/>
        </w:rPr>
        <w:t xml:space="preserve">Vanti C, Conteddu L, Guccione A, Morsillo F, Parazza S, Viti C et al. The Upper Limb Neurodynamic Test 1: intra- and intertester reliability and the effect of several repetitions on pain and resistance. Journal of manipulative and physiological therapeutics. 2010;33(4):292-9. </w:t>
      </w:r>
    </w:p>
    <w:p w14:paraId="06F75F6C" w14:textId="77777777" w:rsidR="005D6C4B" w:rsidRDefault="005D6C4B" w:rsidP="005D6C4B">
      <w:pPr>
        <w:spacing w:line="360" w:lineRule="auto"/>
        <w:ind w:right="-149"/>
        <w:jc w:val="both"/>
        <w:rPr>
          <w:b/>
          <w:sz w:val="22"/>
          <w:szCs w:val="22"/>
        </w:rPr>
      </w:pPr>
      <w:r w:rsidRPr="00C806DA">
        <w:rPr>
          <w:b/>
          <w:noProof/>
          <w:sz w:val="22"/>
          <w:szCs w:val="22"/>
        </w:rPr>
        <w:drawing>
          <wp:inline distT="0" distB="0" distL="0" distR="0" wp14:anchorId="567AC3E1" wp14:editId="3EB97192">
            <wp:extent cx="5145521" cy="3001554"/>
            <wp:effectExtent l="25400" t="25400" r="36195" b="215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521" cy="3001554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B1475AB" w14:textId="77777777" w:rsidR="005D6C4B" w:rsidRPr="00B70A34" w:rsidRDefault="005D6C4B" w:rsidP="005D6C4B">
      <w:pPr>
        <w:spacing w:line="360" w:lineRule="auto"/>
        <w:ind w:right="-14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Figure </w:t>
      </w:r>
      <w:proofErr w:type="gramStart"/>
      <w:r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Representation</w:t>
      </w:r>
      <w:proofErr w:type="spellEnd"/>
      <w:r>
        <w:rPr>
          <w:sz w:val="22"/>
          <w:szCs w:val="22"/>
        </w:rPr>
        <w:t xml:space="preserve"> of the </w:t>
      </w:r>
      <w:proofErr w:type="spellStart"/>
      <w:r>
        <w:rPr>
          <w:sz w:val="22"/>
          <w:szCs w:val="22"/>
        </w:rPr>
        <w:t>experimental</w:t>
      </w:r>
      <w:proofErr w:type="spellEnd"/>
      <w:r>
        <w:rPr>
          <w:sz w:val="22"/>
          <w:szCs w:val="22"/>
        </w:rPr>
        <w:t xml:space="preserve"> procedure</w:t>
      </w:r>
      <w:r w:rsidRPr="00BC3CC6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angles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occurrence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range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pain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onset</w:t>
      </w:r>
      <w:proofErr w:type="spellEnd"/>
      <w:r>
        <w:rPr>
          <w:sz w:val="22"/>
          <w:szCs w:val="22"/>
        </w:rPr>
        <w:t xml:space="preserve"> (PO) and </w:t>
      </w:r>
      <w:proofErr w:type="spellStart"/>
      <w:r>
        <w:rPr>
          <w:sz w:val="22"/>
          <w:szCs w:val="22"/>
        </w:rPr>
        <w:t>submaximal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pain</w:t>
      </w:r>
      <w:proofErr w:type="spellEnd"/>
      <w:r>
        <w:rPr>
          <w:sz w:val="22"/>
          <w:szCs w:val="22"/>
        </w:rPr>
        <w:t xml:space="preserve"> (SP)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elbow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extension</w:t>
      </w:r>
      <w:proofErr w:type="spellEnd"/>
      <w:r>
        <w:rPr>
          <w:sz w:val="22"/>
          <w:szCs w:val="22"/>
        </w:rPr>
        <w:t xml:space="preserve"> in ULNT1 </w:t>
      </w:r>
      <w:proofErr w:type="spellStart"/>
      <w:r>
        <w:rPr>
          <w:sz w:val="22"/>
          <w:szCs w:val="22"/>
        </w:rPr>
        <w:t>were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recorded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then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the angle </w:t>
      </w:r>
      <w:proofErr w:type="spellStart"/>
      <w:r>
        <w:rPr>
          <w:sz w:val="22"/>
          <w:szCs w:val="22"/>
        </w:rPr>
        <w:t>between</w:t>
      </w:r>
      <w:proofErr w:type="spellEnd"/>
      <w:r>
        <w:rPr>
          <w:sz w:val="22"/>
          <w:szCs w:val="22"/>
        </w:rPr>
        <w:t xml:space="preserve"> PO</w:t>
      </w:r>
      <w:proofErr w:type="gramEnd"/>
      <w:r>
        <w:rPr>
          <w:sz w:val="22"/>
          <w:szCs w:val="22"/>
        </w:rPr>
        <w:t xml:space="preserve"> and SP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calculated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each</w:t>
      </w:r>
      <w:proofErr w:type="spellEnd"/>
      <w:r>
        <w:rPr>
          <w:sz w:val="22"/>
          <w:szCs w:val="22"/>
        </w:rPr>
        <w:t xml:space="preserve"> ULNT1 </w:t>
      </w:r>
      <w:proofErr w:type="spellStart"/>
      <w:r>
        <w:rPr>
          <w:sz w:val="22"/>
          <w:szCs w:val="22"/>
        </w:rPr>
        <w:t>execution</w:t>
      </w:r>
      <w:proofErr w:type="spellEnd"/>
      <w:r>
        <w:rPr>
          <w:sz w:val="22"/>
          <w:szCs w:val="22"/>
        </w:rPr>
        <w:t>.</w:t>
      </w:r>
    </w:p>
    <w:p w14:paraId="3AF30D3E" w14:textId="77777777" w:rsidR="005D6C4B" w:rsidRDefault="005D6C4B" w:rsidP="005D6C4B">
      <w:pPr>
        <w:spacing w:line="360" w:lineRule="auto"/>
        <w:ind w:right="-149"/>
        <w:jc w:val="both"/>
        <w:rPr>
          <w:b/>
          <w:sz w:val="22"/>
          <w:szCs w:val="22"/>
        </w:rPr>
      </w:pPr>
    </w:p>
    <w:p w14:paraId="194FE17C" w14:textId="77777777" w:rsidR="005D6C4B" w:rsidRDefault="005D6C4B" w:rsidP="005D6C4B">
      <w:pPr>
        <w:spacing w:line="360" w:lineRule="auto"/>
        <w:ind w:right="-149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Table</w:t>
      </w:r>
      <w:proofErr w:type="spellEnd"/>
      <w:r>
        <w:rPr>
          <w:b/>
          <w:sz w:val="22"/>
          <w:szCs w:val="22"/>
        </w:rPr>
        <w:t xml:space="preserve"> 1. </w:t>
      </w:r>
      <w:proofErr w:type="spellStart"/>
      <w:r>
        <w:rPr>
          <w:sz w:val="22"/>
          <w:szCs w:val="22"/>
        </w:rPr>
        <w:t>Intraclass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Correlation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Coefficients</w:t>
      </w:r>
      <w:proofErr w:type="spellEnd"/>
      <w:r>
        <w:rPr>
          <w:sz w:val="22"/>
          <w:szCs w:val="22"/>
        </w:rPr>
        <w:t xml:space="preserve"> (ICC) and </w:t>
      </w:r>
      <w:proofErr w:type="spellStart"/>
      <w:r>
        <w:rPr>
          <w:sz w:val="22"/>
          <w:szCs w:val="22"/>
        </w:rPr>
        <w:t>Bland</w:t>
      </w:r>
      <w:proofErr w:type="spellEnd"/>
      <w:r>
        <w:rPr>
          <w:sz w:val="22"/>
          <w:szCs w:val="22"/>
        </w:rPr>
        <w:t xml:space="preserve">-Altman Plots (B-A plots) </w:t>
      </w:r>
      <w:proofErr w:type="spellStart"/>
      <w:r>
        <w:rPr>
          <w:sz w:val="22"/>
          <w:szCs w:val="22"/>
        </w:rPr>
        <w:t>values</w:t>
      </w:r>
      <w:proofErr w:type="spellEnd"/>
      <w:r>
        <w:rPr>
          <w:sz w:val="22"/>
          <w:szCs w:val="22"/>
        </w:rPr>
        <w:t xml:space="preserve"> for the angle </w:t>
      </w:r>
      <w:proofErr w:type="spellStart"/>
      <w:r>
        <w:rPr>
          <w:sz w:val="22"/>
          <w:szCs w:val="22"/>
        </w:rPr>
        <w:t>between</w:t>
      </w:r>
      <w:proofErr w:type="spellEnd"/>
      <w:r>
        <w:rPr>
          <w:sz w:val="22"/>
          <w:szCs w:val="22"/>
        </w:rPr>
        <w:t xml:space="preserve"> PO and SP (∆),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the angle of </w:t>
      </w:r>
      <w:proofErr w:type="spellStart"/>
      <w:r>
        <w:rPr>
          <w:sz w:val="22"/>
          <w:szCs w:val="22"/>
        </w:rPr>
        <w:t>occurrence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range</w:t>
      </w:r>
      <w:proofErr w:type="spellEnd"/>
      <w:r>
        <w:rPr>
          <w:sz w:val="22"/>
          <w:szCs w:val="22"/>
        </w:rPr>
        <w:t xml:space="preserve"> of PO and SP.</w:t>
      </w:r>
    </w:p>
    <w:p w14:paraId="0DACF74C" w14:textId="17417EE7" w:rsidR="005D6C4B" w:rsidRPr="006A5774" w:rsidRDefault="005D6C4B" w:rsidP="005124E4">
      <w:pPr>
        <w:spacing w:line="360" w:lineRule="auto"/>
        <w:ind w:right="-149"/>
        <w:jc w:val="both"/>
        <w:rPr>
          <w:b/>
          <w:sz w:val="22"/>
          <w:szCs w:val="22"/>
        </w:rPr>
      </w:pPr>
      <w:r w:rsidRPr="00C806DA">
        <w:rPr>
          <w:b/>
          <w:noProof/>
          <w:sz w:val="22"/>
          <w:szCs w:val="22"/>
        </w:rPr>
        <w:drawing>
          <wp:inline distT="0" distB="0" distL="0" distR="0" wp14:anchorId="6B46B7EB" wp14:editId="130A8FF6">
            <wp:extent cx="6190978" cy="1133170"/>
            <wp:effectExtent l="0" t="0" r="6985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978" cy="11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C4B" w:rsidRPr="006A5774" w:rsidSect="0093697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6193"/>
    <w:multiLevelType w:val="hybridMultilevel"/>
    <w:tmpl w:val="3446A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E1934"/>
    <w:multiLevelType w:val="hybridMultilevel"/>
    <w:tmpl w:val="2B4EA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77"/>
    <w:rsid w:val="0002716E"/>
    <w:rsid w:val="00052F7B"/>
    <w:rsid w:val="000C0772"/>
    <w:rsid w:val="000D1F72"/>
    <w:rsid w:val="000E0FD5"/>
    <w:rsid w:val="001529C1"/>
    <w:rsid w:val="00157AC3"/>
    <w:rsid w:val="0016325C"/>
    <w:rsid w:val="00177F77"/>
    <w:rsid w:val="001A4841"/>
    <w:rsid w:val="001C45BC"/>
    <w:rsid w:val="001D1A98"/>
    <w:rsid w:val="00251EA4"/>
    <w:rsid w:val="00257C40"/>
    <w:rsid w:val="0029584D"/>
    <w:rsid w:val="00295D71"/>
    <w:rsid w:val="002C316C"/>
    <w:rsid w:val="002D7756"/>
    <w:rsid w:val="002F7B06"/>
    <w:rsid w:val="00372AD3"/>
    <w:rsid w:val="003922CC"/>
    <w:rsid w:val="003A11AB"/>
    <w:rsid w:val="003A5024"/>
    <w:rsid w:val="003B0441"/>
    <w:rsid w:val="00421EA7"/>
    <w:rsid w:val="00440109"/>
    <w:rsid w:val="004B67A9"/>
    <w:rsid w:val="004C1507"/>
    <w:rsid w:val="004F07DD"/>
    <w:rsid w:val="005124E4"/>
    <w:rsid w:val="00566603"/>
    <w:rsid w:val="00583F4D"/>
    <w:rsid w:val="00596680"/>
    <w:rsid w:val="005B50E4"/>
    <w:rsid w:val="005C1C25"/>
    <w:rsid w:val="005D6C4B"/>
    <w:rsid w:val="006116AA"/>
    <w:rsid w:val="00686F1E"/>
    <w:rsid w:val="006A5774"/>
    <w:rsid w:val="0075131F"/>
    <w:rsid w:val="0076208C"/>
    <w:rsid w:val="0076298F"/>
    <w:rsid w:val="007671AE"/>
    <w:rsid w:val="007A4A59"/>
    <w:rsid w:val="00831848"/>
    <w:rsid w:val="0093697D"/>
    <w:rsid w:val="0096217D"/>
    <w:rsid w:val="0096514E"/>
    <w:rsid w:val="00977B0C"/>
    <w:rsid w:val="009B66C1"/>
    <w:rsid w:val="00A23A5E"/>
    <w:rsid w:val="00A7202F"/>
    <w:rsid w:val="00AF3239"/>
    <w:rsid w:val="00AF7877"/>
    <w:rsid w:val="00B320B3"/>
    <w:rsid w:val="00B70A34"/>
    <w:rsid w:val="00BC3CC6"/>
    <w:rsid w:val="00C806DA"/>
    <w:rsid w:val="00C8365A"/>
    <w:rsid w:val="00CB04E5"/>
    <w:rsid w:val="00CD752B"/>
    <w:rsid w:val="00CE77A5"/>
    <w:rsid w:val="00D10234"/>
    <w:rsid w:val="00D10AA6"/>
    <w:rsid w:val="00D235C5"/>
    <w:rsid w:val="00D82C51"/>
    <w:rsid w:val="00DF4954"/>
    <w:rsid w:val="00E417EC"/>
    <w:rsid w:val="00EC33E0"/>
    <w:rsid w:val="00F9745A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2E4B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87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AF787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7877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F7877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8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7877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AF323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F3239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325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325C"/>
    <w:rPr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87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AF787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7877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F7877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8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7877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AF323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F3239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325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325C"/>
    <w:rPr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3702</Characters>
  <Application>Microsoft Macintosh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Leoni</dc:creator>
  <cp:keywords/>
  <dc:description/>
  <cp:lastModifiedBy>Diego Leoni</cp:lastModifiedBy>
  <cp:revision>8</cp:revision>
  <cp:lastPrinted>2015-07-08T11:03:00Z</cp:lastPrinted>
  <dcterms:created xsi:type="dcterms:W3CDTF">2015-08-12T21:16:00Z</dcterms:created>
  <dcterms:modified xsi:type="dcterms:W3CDTF">2015-08-31T13:22:00Z</dcterms:modified>
</cp:coreProperties>
</file>